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80001710880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AVVOCATI DI RAGUSA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1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GIUSEPPE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DI BLASI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26/02/2019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2014 </w:t>
        <w:br/>
        <w:t>Il codice contiene le seguenti disposizioni ulteriori a quelle del D.P.R. n.62/2013:</w:t>
        <w:br/>
        <w:t xml:space="preserve">  - le caratteristiche specifiche dell’ente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Per l'esiguità del personale dipendente.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non sono pervenute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non sono pervenute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eseguono i controlli su tutte le dichiarazioni per prassi d'ufficio..</w:t>
        <w:br/>
        <w:t>Sono stati effettuati controlli sui precedenti penali nell’anno di riferimento del PTPCT o della sezione Anticorruzione e Trasparenza del PIAO, più in dettaglio:</w:t>
        <w:br/>
        <w:t xml:space="preserve">  - sono state effettuate 74 verifiche</w:t>
        <w:br/>
        <w:t xml:space="preserve">  - a seguito dei controlli effettuati, non sono state accertate violazioni.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  <w:br/>
        <w:t xml:space="preserve"> </w:t>
        <w:br/>
        <w:t>In merito al sistema di tutela del dipendente pubblico che segnala gli illeciti, si riporta il seguente giudizio: Il sistema è conforme alle dimensioni dell'ente.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hanno evidenziato irregolarità nella pubblicazione dei dati relativamente alle seguenti macro-famiglie:</w:t>
        <w:br/>
        <w:t xml:space="preserve">  - Consulenti e collaboratori</w:t>
        <w:br/>
        <w:t xml:space="preserve">  - Altri contenuti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L'Ente garantisce la trasparenza amministrativa richiesta e conforme alla norma.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>La misura “Svolgimento di attività successiva alla cessazione del rapporto di lavoro” è stata attuata ma non sono stati effettuati controlli sulla sua attuazione.</w:t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>Sono stati predisposti e utilizzati protocolli di legalità o patti d’integrità per l’affidamento di commesse.</w:t>
        <w:br/>
        <w:t>Le clausole dei Patti di Integrità o protocolli di legalità non sono ancora state inserite in alcun bando.</w:t>
        <w:br/>
        <w:t/>
        <w:br/>
        <w:t>Non sono state previste clausole sul rispetto dei Patti di Integrità nei contratti stipulati nell’anno di riferimento del PTPCT o della sezione Anticorruzione e Trasparenza del PIAO in esame.</w:t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neutrale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14</w:t>
            </w:r>
          </w:p>
        </w:tc>
        <w:tc>
          <w:p>
            <w:r>
              <w:t>14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14</w:t>
            </w:r>
          </w:p>
        </w:tc>
        <w:tc>
          <w:p>
            <w:r>
              <w:t>14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In quanto l'ente ha sempre operato in trasparenza.</w:t>
        <w:br/>
        <w:t xml:space="preserve">  - la capacità di individuare e far emergere situazioni di rischio corruttivo e di intervenire con adeguati rimedi  è rimasta invariata in ragione di In quanto l'ente ha sempre operato in trasparenza.</w:t>
        <w:br/>
        <w:t xml:space="preserve">  - la reputazione dell'ente  è rimasta invariata in ragione di Non si sono mai verificati eventi corruttivi anche prima dell'adozione del PTPCT</w:t>
        <w:br/>
        <w:t/>
        <w:br/>
        <w:t>Nell’anno di riferimento del PTPCT o della sezione Anticorruzione e Trasparenza del PIAO, il RPCT ha effettuato 2 segnalazioni all'OIV sulle disfunzioni inerenti all'attuazione del PTPCT o della sezione Anticorruzione e Trasparenza del PIAO quali ad esempio Mancanza delle attestazione di incompatibilità dei consulenti.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Si reputa un buon grado di attuazione del PTPCT che come tutto è migliorabile.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ragioni:Non si ravvisano criticità da dover correggere.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ragioni:Ho svolto il mio compito fornendo man mano le opportune informazioni al Consiglio.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14</w:t>
        <w:br/>
        <w:t xml:space="preserve">  -  Numero di misure attuate nei tempi previsti: 14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A. Concorsi e prove selettive</w:t>
        <w:br/>
        <w:t>Denominazione misura: A1 e A2</w:t>
        <w:br/>
        <w:t>La misura è stata attuata nei tempi previsti.</w:t>
        <w:br/>
        <w:t/>
        <w:br/>
        <w:t>Area di rischio: B. Provvedimenti ampliativi della sfera giuridica senza effetto economico diretto ed immediato (es. autorizzazioni e concessioni, etc.)</w:t>
        <w:br/>
        <w:t>Denominazione misura: C1 - C6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D1 - D3</w:t>
        <w:br/>
        <w:t>La misura è stata attuata nei tempi previsti.</w:t>
        <w:br/>
        <w:t/>
        <w:br/>
        <w:t>Area di rischio: F. Gestione delle entrate, delle spese e del patrimonio</w:t>
        <w:br/>
        <w:t>Denominazione misura: D1 e D2</w:t>
        <w:br/>
        <w:t>La misura è stata attuata nei tempi previsti.</w:t>
        <w:br/>
        <w:t/>
        <w:br/>
        <w:t>Area di rischio: M. Rilascio di pareri di congruità</w:t>
        <w:br/>
        <w:t>Denominazione misura: C5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